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i w:val="0"/>
          <w:sz w:val="17"/>
        </w:rPr>
      </w:pPr>
      <w:r>
        <w:rPr/>
        <w:pict>
          <v:shape style="position:absolute;margin-left:455.400024pt;margin-top:78.239983pt;width:343.6pt;height:456.4pt;mso-position-horizontal-relative:page;mso-position-vertical-relative:page;z-index:-15896576" id="docshape3" coordorigin="9108,1565" coordsize="6872,9128" path="m12535,4598l9108,4598,9108,5450,12535,5450,12535,4598xm12535,3737l9108,3737,9108,4589,12535,4589,12535,3737xm15974,9840l12547,9840,12547,10692,15974,10692,15974,9840xm15974,8981l12547,8981,12547,9830,15974,9830,15974,8981xm15974,8042l12547,8042,12547,8971,15974,8971,15974,8042xm15974,7181l12547,7181,12547,8033,15974,8033,15974,7181xm15974,6319l12547,6319,12547,7171,15974,7171,15974,6319xm15974,5460l12547,5460,12547,6310,15974,6310,15974,5460xm15974,4598l12547,4598,12547,5450,15974,5450,15974,4598xm15974,3737l12547,3737,12547,4589,15974,4589,15974,3737xm15974,2875l12547,2875,12547,3727,15974,3727,15974,2875xm15974,2016l12547,2016,12547,2866,15974,2866,15974,2016xm15979,1565l12540,1565,12540,2006,15979,2006,15979,1565xe" filled="true" fillcolor="#d9d9d9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3436"/>
        <w:gridCol w:w="3436"/>
        <w:gridCol w:w="3438"/>
        <w:gridCol w:w="3436"/>
      </w:tblGrid>
      <w:tr>
        <w:trPr>
          <w:trHeight w:val="441" w:hRule="atLeast"/>
        </w:trPr>
        <w:tc>
          <w:tcPr>
            <w:tcW w:w="1168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2"/>
              <w:ind w:left="2685"/>
              <w:jc w:val="left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Offered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Semesters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0" w:lineRule="atLeast"/>
              <w:ind w:left="1006" w:right="365" w:hanging="608"/>
              <w:jc w:val="left"/>
              <w:rPr>
                <w:sz w:val="18"/>
              </w:rPr>
            </w:pPr>
            <w:r>
              <w:rPr>
                <w:sz w:val="18"/>
              </w:rPr>
              <w:t>BSc component of combined degree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(minimum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 units)</w:t>
            </w:r>
          </w:p>
        </w:tc>
      </w:tr>
      <w:tr>
        <w:trPr>
          <w:trHeight w:val="849" w:hRule="atLeast"/>
        </w:trPr>
        <w:tc>
          <w:tcPr>
            <w:tcW w:w="1370" w:type="dxa"/>
          </w:tcPr>
          <w:p>
            <w:pPr>
              <w:pStyle w:val="TableParagraph"/>
              <w:spacing w:before="20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before="1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1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150"/>
              <w:ind w:left="202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CITS1001**</w:t>
            </w:r>
          </w:p>
          <w:p>
            <w:pPr>
              <w:pStyle w:val="TableParagraph"/>
              <w:ind w:left="199" w:right="186"/>
              <w:rPr>
                <w:rFonts w:ascii="Source Sans Pro"/>
                <w:sz w:val="22"/>
              </w:rPr>
            </w:pPr>
            <w:r>
              <w:rPr>
                <w:rFonts w:ascii="Source Sans Pro"/>
                <w:sz w:val="22"/>
              </w:rPr>
              <w:t>Software</w:t>
            </w:r>
            <w:r>
              <w:rPr>
                <w:rFonts w:ascii="Source Sans Pro"/>
                <w:spacing w:val="-5"/>
                <w:sz w:val="22"/>
              </w:rPr>
              <w:t> </w:t>
            </w:r>
            <w:r>
              <w:rPr>
                <w:rFonts w:ascii="Source Sans Pro"/>
                <w:sz w:val="22"/>
              </w:rPr>
              <w:t>Engineering</w:t>
            </w:r>
            <w:r>
              <w:rPr>
                <w:rFonts w:ascii="Source Sans Pro"/>
                <w:spacing w:val="-5"/>
                <w:sz w:val="22"/>
              </w:rPr>
              <w:t> </w:t>
            </w:r>
            <w:r>
              <w:rPr>
                <w:rFonts w:ascii="Source Sans Pro"/>
                <w:sz w:val="22"/>
              </w:rPr>
              <w:t>with</w:t>
            </w:r>
            <w:r>
              <w:rPr>
                <w:rFonts w:ascii="Source Sans Pro"/>
                <w:spacing w:val="-6"/>
                <w:sz w:val="22"/>
              </w:rPr>
              <w:t> </w:t>
            </w:r>
            <w:r>
              <w:rPr>
                <w:rFonts w:ascii="Source Sans Pro"/>
                <w:sz w:val="22"/>
              </w:rPr>
              <w:t>Java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3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1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23"/>
              <w:ind w:left="200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CITS1402</w:t>
            </w:r>
          </w:p>
          <w:p>
            <w:pPr>
              <w:pStyle w:val="TableParagraph"/>
              <w:ind w:left="202" w:right="186"/>
              <w:rPr>
                <w:sz w:val="22"/>
              </w:rPr>
            </w:pPr>
            <w:r>
              <w:rPr>
                <w:sz w:val="22"/>
              </w:rPr>
              <w:t>Relational Database Management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line="267" w:lineRule="exact" w:before="23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line="267" w:lineRule="exact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  <w:shd w:val="clear" w:color="auto" w:fill="D9D9D9"/>
          </w:tcPr>
          <w:p>
            <w:pPr>
              <w:pStyle w:val="TableParagraph"/>
              <w:spacing w:line="267" w:lineRule="exact" w:before="157"/>
              <w:ind w:left="348" w:right="334"/>
              <w:rPr>
                <w:b/>
                <w:sz w:val="22"/>
              </w:rPr>
            </w:pPr>
            <w:r>
              <w:rPr>
                <w:b/>
                <w:sz w:val="22"/>
              </w:rPr>
              <w:t>CITS1003</w:t>
            </w:r>
          </w:p>
          <w:p>
            <w:pPr>
              <w:pStyle w:val="TableParagraph"/>
              <w:spacing w:line="267" w:lineRule="exact"/>
              <w:ind w:left="348" w:right="334"/>
              <w:rPr>
                <w:sz w:val="22"/>
              </w:rPr>
            </w:pPr>
            <w:r>
              <w:rPr>
                <w:sz w:val="22"/>
              </w:rPr>
              <w:t>Intro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Cybersecurity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59"/>
              <w:ind w:left="200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CITS2200</w:t>
            </w:r>
          </w:p>
          <w:p>
            <w:pPr>
              <w:pStyle w:val="TableParagraph"/>
              <w:spacing w:line="268" w:lineRule="exact"/>
              <w:ind w:left="200" w:right="186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Algorithms</w:t>
            </w:r>
          </w:p>
          <w:p>
            <w:pPr>
              <w:pStyle w:val="TableParagraph"/>
              <w:ind w:left="200" w:right="1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CITS1001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0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before="1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  <w:shd w:val="clear" w:color="auto" w:fill="D9D9D9"/>
          </w:tcPr>
          <w:p>
            <w:pPr>
              <w:pStyle w:val="TableParagraph"/>
              <w:spacing w:line="267" w:lineRule="exact" w:before="59"/>
              <w:ind w:left="348" w:right="334"/>
              <w:rPr>
                <w:b/>
                <w:sz w:val="22"/>
              </w:rPr>
            </w:pPr>
            <w:r>
              <w:rPr>
                <w:b/>
                <w:sz w:val="22"/>
              </w:rPr>
              <w:t>CITS2211</w:t>
            </w:r>
          </w:p>
          <w:p>
            <w:pPr>
              <w:pStyle w:val="TableParagraph"/>
              <w:spacing w:line="267" w:lineRule="exact"/>
              <w:ind w:left="348" w:right="336"/>
              <w:rPr>
                <w:sz w:val="22"/>
              </w:rPr>
            </w:pPr>
            <w:r>
              <w:rPr>
                <w:sz w:val="22"/>
              </w:rPr>
              <w:t>Discrete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Structures</w:t>
            </w:r>
          </w:p>
          <w:p>
            <w:pPr>
              <w:pStyle w:val="TableParagraph"/>
              <w:ind w:left="348" w:right="3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pts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programming-based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units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‡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line="267" w:lineRule="exact" w:before="59"/>
              <w:ind w:left="200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CITS2002</w:t>
            </w:r>
          </w:p>
          <w:p>
            <w:pPr>
              <w:pStyle w:val="TableParagraph"/>
              <w:spacing w:line="267" w:lineRule="exact"/>
              <w:ind w:left="202" w:right="185"/>
              <w:rPr>
                <w:sz w:val="22"/>
              </w:rPr>
            </w:pPr>
            <w:r>
              <w:rPr>
                <w:sz w:val="22"/>
              </w:rPr>
              <w:t>Systems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Programming</w:t>
            </w:r>
          </w:p>
          <w:p>
            <w:pPr>
              <w:pStyle w:val="TableParagraph"/>
              <w:ind w:left="198" w:right="1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6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pts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programming-based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units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‡</w:t>
            </w:r>
          </w:p>
        </w:tc>
      </w:tr>
      <w:tr>
        <w:trPr>
          <w:trHeight w:val="849" w:hRule="atLeast"/>
        </w:trPr>
        <w:tc>
          <w:tcPr>
            <w:tcW w:w="1370" w:type="dxa"/>
          </w:tcPr>
          <w:p>
            <w:pPr>
              <w:pStyle w:val="TableParagraph"/>
              <w:spacing w:before="20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spacing w:before="1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1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56"/>
              <w:ind w:left="199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CITS3403</w:t>
            </w:r>
          </w:p>
          <w:p>
            <w:pPr>
              <w:pStyle w:val="TableParagraph"/>
              <w:spacing w:line="268" w:lineRule="exact" w:before="1"/>
              <w:ind w:left="202" w:right="186"/>
              <w:rPr>
                <w:sz w:val="22"/>
              </w:rPr>
            </w:pPr>
            <w:r>
              <w:rPr>
                <w:sz w:val="22"/>
              </w:rPr>
              <w:t>Agile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</w:p>
          <w:p>
            <w:pPr>
              <w:pStyle w:val="TableParagraph"/>
              <w:ind w:left="200" w:right="1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CITS1001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CITS2002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3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1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59"/>
              <w:ind w:left="199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CITS3001</w:t>
            </w:r>
          </w:p>
          <w:p>
            <w:pPr>
              <w:pStyle w:val="TableParagraph"/>
              <w:spacing w:line="268" w:lineRule="exact"/>
              <w:ind w:left="202" w:right="185"/>
              <w:rPr>
                <w:sz w:val="22"/>
              </w:rPr>
            </w:pPr>
            <w:r>
              <w:rPr>
                <w:sz w:val="22"/>
              </w:rPr>
              <w:t>Algorithms,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AI</w:t>
            </w:r>
          </w:p>
          <w:p>
            <w:pPr>
              <w:pStyle w:val="TableParagraph"/>
              <w:ind w:left="200" w:right="1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CITS2200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line="268" w:lineRule="exact" w:before="23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spacing w:line="268" w:lineRule="exact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1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59"/>
              <w:ind w:left="200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CITS3002</w:t>
            </w:r>
          </w:p>
          <w:p>
            <w:pPr>
              <w:pStyle w:val="TableParagraph"/>
              <w:spacing w:line="268" w:lineRule="exact"/>
              <w:ind w:left="202" w:right="186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Networks</w:t>
            </w:r>
          </w:p>
          <w:p>
            <w:pPr>
              <w:pStyle w:val="TableParagraph"/>
              <w:ind w:left="200" w:right="1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CITS2002</w:t>
            </w:r>
          </w:p>
        </w:tc>
      </w:tr>
      <w:tr>
        <w:trPr>
          <w:trHeight w:val="928" w:hRule="atLeast"/>
        </w:trPr>
        <w:tc>
          <w:tcPr>
            <w:tcW w:w="1370" w:type="dxa"/>
          </w:tcPr>
          <w:p>
            <w:pPr>
              <w:pStyle w:val="TableParagraph"/>
              <w:spacing w:before="59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436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391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line="268" w:lineRule="exact"/>
              <w:ind w:left="200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CITS3200</w:t>
            </w:r>
          </w:p>
          <w:p>
            <w:pPr>
              <w:pStyle w:val="TableParagraph"/>
              <w:spacing w:line="268" w:lineRule="exact"/>
              <w:ind w:left="201" w:right="186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Computing</w:t>
            </w:r>
          </w:p>
          <w:p>
            <w:pPr>
              <w:pStyle w:val="TableParagraph"/>
              <w:spacing w:line="195" w:lineRule="exact"/>
              <w:ind w:left="200" w:right="1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84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pts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incl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CITS1001,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CITS2200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</w:p>
          <w:p>
            <w:pPr>
              <w:pStyle w:val="TableParagraph"/>
              <w:spacing w:line="177" w:lineRule="exact"/>
              <w:ind w:left="200" w:right="1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CITS2002</w:t>
            </w:r>
          </w:p>
        </w:tc>
      </w:tr>
      <w:tr>
        <w:trPr>
          <w:trHeight w:val="849" w:hRule="atLeast"/>
        </w:trPr>
        <w:tc>
          <w:tcPr>
            <w:tcW w:w="1370" w:type="dxa"/>
          </w:tcPr>
          <w:p>
            <w:pPr>
              <w:pStyle w:val="TableParagraph"/>
              <w:spacing w:before="20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spacing w:before="1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1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02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CS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Option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</w:tr>
      <w:tr>
        <w:trPr>
          <w:trHeight w:val="851" w:hRule="atLeast"/>
        </w:trPr>
        <w:tc>
          <w:tcPr>
            <w:tcW w:w="1370" w:type="dxa"/>
          </w:tcPr>
          <w:p>
            <w:pPr>
              <w:pStyle w:val="TableParagraph"/>
              <w:spacing w:before="23"/>
              <w:ind w:left="172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left="173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8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91"/>
              <w:jc w:val="left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02" w:right="186"/>
              <w:rPr>
                <w:b/>
                <w:sz w:val="22"/>
              </w:rPr>
            </w:pPr>
            <w:r>
              <w:rPr>
                <w:b/>
                <w:sz w:val="22"/>
              </w:rPr>
              <w:t>CS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Option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</w:tr>
    </w:tbl>
    <w:p>
      <w:pPr>
        <w:spacing w:before="6"/>
        <w:ind w:left="392" w:right="0" w:firstLine="0"/>
        <w:jc w:val="left"/>
        <w:rPr>
          <w:sz w:val="20"/>
        </w:rPr>
      </w:pPr>
      <w:r>
        <w:rPr>
          <w:sz w:val="20"/>
        </w:rPr>
        <w:t>Additionally,</w:t>
      </w:r>
      <w:r>
        <w:rPr>
          <w:spacing w:val="-3"/>
          <w:sz w:val="20"/>
        </w:rPr>
        <w:t> </w:t>
      </w:r>
      <w:r>
        <w:rPr>
          <w:sz w:val="20"/>
        </w:rPr>
        <w:t>students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GENG1000,</w:t>
      </w:r>
      <w:r>
        <w:rPr>
          <w:spacing w:val="-2"/>
          <w:sz w:val="20"/>
        </w:rPr>
        <w:t> </w:t>
      </w:r>
      <w:r>
        <w:rPr>
          <w:sz w:val="20"/>
        </w:rPr>
        <w:t>GENG2000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GENG3000</w:t>
      </w:r>
      <w:r>
        <w:rPr>
          <w:spacing w:val="-3"/>
          <w:sz w:val="20"/>
        </w:rPr>
        <w:t> </w:t>
      </w:r>
      <w:r>
        <w:rPr>
          <w:sz w:val="20"/>
        </w:rPr>
        <w:t>Engineering</w:t>
      </w:r>
      <w:r>
        <w:rPr>
          <w:spacing w:val="-1"/>
          <w:sz w:val="20"/>
        </w:rPr>
        <w:t> </w:t>
      </w:r>
      <w:r>
        <w:rPr>
          <w:sz w:val="20"/>
        </w:rPr>
        <w:t>Practice</w:t>
      </w:r>
      <w:r>
        <w:rPr>
          <w:spacing w:val="-5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(0</w:t>
      </w:r>
      <w:r>
        <w:rPr>
          <w:spacing w:val="-3"/>
          <w:sz w:val="20"/>
        </w:rPr>
        <w:t> </w:t>
      </w:r>
      <w:r>
        <w:rPr>
          <w:sz w:val="20"/>
        </w:rPr>
        <w:t>pts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x</w:t>
      </w:r>
      <w:r>
        <w:rPr>
          <w:spacing w:val="-3"/>
          <w:sz w:val="20"/>
        </w:rPr>
        <w:t> </w:t>
      </w:r>
      <w:r>
        <w:rPr>
          <w:sz w:val="20"/>
        </w:rPr>
        <w:t>1week</w:t>
      </w:r>
      <w:r>
        <w:rPr>
          <w:spacing w:val="-3"/>
          <w:sz w:val="20"/>
        </w:rPr>
        <w:t> </w:t>
      </w:r>
      <w:r>
        <w:rPr>
          <w:sz w:val="20"/>
        </w:rPr>
        <w:t>modules)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GENG5010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4"/>
          <w:sz w:val="20"/>
        </w:rPr>
        <w:t> </w:t>
      </w:r>
      <w:r>
        <w:rPr>
          <w:sz w:val="20"/>
        </w:rPr>
        <w:t>Eng.</w:t>
      </w:r>
      <w:r>
        <w:rPr>
          <w:spacing w:val="-3"/>
          <w:sz w:val="20"/>
        </w:rPr>
        <w:t> </w:t>
      </w:r>
      <w:r>
        <w:rPr>
          <w:sz w:val="20"/>
        </w:rPr>
        <w:t>Portfolio</w:t>
      </w:r>
      <w:r>
        <w:rPr>
          <w:spacing w:val="-3"/>
          <w:sz w:val="20"/>
        </w:rPr>
        <w:t> </w:t>
      </w:r>
      <w:r>
        <w:rPr>
          <w:sz w:val="20"/>
        </w:rPr>
        <w:t>(0</w:t>
      </w:r>
      <w:r>
        <w:rPr>
          <w:spacing w:val="-4"/>
          <w:sz w:val="20"/>
        </w:rPr>
        <w:t> </w:t>
      </w:r>
      <w:r>
        <w:rPr>
          <w:sz w:val="20"/>
        </w:rPr>
        <w:t>pts)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22" w:footer="362" w:top="1360" w:bottom="560" w:left="740" w:right="74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8"/>
        </w:rPr>
      </w:pPr>
    </w:p>
    <w:p>
      <w:pPr>
        <w:pStyle w:val="Heading1"/>
        <w:spacing w:before="52"/>
      </w:pPr>
      <w:r>
        <w:rPr>
          <w:color w:val="1F3E9A"/>
        </w:rPr>
        <w:t>#</w:t>
      </w:r>
      <w:r>
        <w:rPr>
          <w:color w:val="1F3E9A"/>
          <w:spacing w:val="-1"/>
        </w:rPr>
        <w:t> </w:t>
      </w:r>
      <w:r>
        <w:rPr>
          <w:color w:val="1F3E9A"/>
        </w:rPr>
        <w:t>Computer</w:t>
      </w:r>
      <w:r>
        <w:rPr>
          <w:color w:val="1F3E9A"/>
          <w:spacing w:val="1"/>
        </w:rPr>
        <w:t> </w:t>
      </w:r>
      <w:r>
        <w:rPr>
          <w:color w:val="1F3E9A"/>
        </w:rPr>
        <w:t>Science</w:t>
      </w:r>
      <w:r>
        <w:rPr>
          <w:color w:val="1F3E9A"/>
          <w:spacing w:val="-4"/>
        </w:rPr>
        <w:t> </w:t>
      </w:r>
      <w:r>
        <w:rPr>
          <w:color w:val="1F3E9A"/>
        </w:rPr>
        <w:t>Option</w:t>
      </w:r>
      <w:r>
        <w:rPr>
          <w:color w:val="1F3E9A"/>
          <w:spacing w:val="-1"/>
        </w:rPr>
        <w:t> </w:t>
      </w:r>
      <w:r>
        <w:rPr>
          <w:color w:val="1F3E9A"/>
        </w:rPr>
        <w:t>Units:</w:t>
      </w:r>
      <w:r>
        <w:rPr>
          <w:color w:val="1F3E9A"/>
          <w:spacing w:val="52"/>
        </w:rPr>
        <w:t> </w:t>
      </w:r>
      <w:r>
        <w:rPr>
          <w:color w:val="1F3E9A"/>
        </w:rPr>
        <w:t>Take</w:t>
      </w:r>
      <w:r>
        <w:rPr>
          <w:color w:val="1F3E9A"/>
          <w:spacing w:val="-2"/>
        </w:rPr>
        <w:t> </w:t>
      </w:r>
      <w:r>
        <w:rPr>
          <w:color w:val="1F3E9A"/>
        </w:rPr>
        <w:t>units</w:t>
      </w:r>
      <w:r>
        <w:rPr>
          <w:color w:val="1F3E9A"/>
          <w:spacing w:val="-3"/>
        </w:rPr>
        <w:t> </w:t>
      </w:r>
      <w:r>
        <w:rPr>
          <w:color w:val="1F3E9A"/>
        </w:rPr>
        <w:t>to</w:t>
      </w:r>
      <w:r>
        <w:rPr>
          <w:color w:val="1F3E9A"/>
          <w:spacing w:val="-5"/>
        </w:rPr>
        <w:t> </w:t>
      </w:r>
      <w:r>
        <w:rPr>
          <w:color w:val="1F3E9A"/>
        </w:rPr>
        <w:t>the</w:t>
      </w:r>
      <w:r>
        <w:rPr>
          <w:color w:val="1F3E9A"/>
          <w:spacing w:val="-1"/>
        </w:rPr>
        <w:t> </w:t>
      </w:r>
      <w:r>
        <w:rPr>
          <w:color w:val="1F3E9A"/>
        </w:rPr>
        <w:t>value</w:t>
      </w:r>
      <w:r>
        <w:rPr>
          <w:color w:val="1F3E9A"/>
          <w:spacing w:val="-2"/>
        </w:rPr>
        <w:t> </w:t>
      </w:r>
      <w:r>
        <w:rPr>
          <w:color w:val="1F3E9A"/>
        </w:rPr>
        <w:t>of</w:t>
      </w:r>
      <w:r>
        <w:rPr>
          <w:color w:val="1F3E9A"/>
          <w:spacing w:val="-2"/>
        </w:rPr>
        <w:t> </w:t>
      </w:r>
      <w:r>
        <w:rPr>
          <w:color w:val="1F3E9A"/>
        </w:rPr>
        <w:t>12</w:t>
      </w:r>
      <w:r>
        <w:rPr>
          <w:color w:val="1F3E9A"/>
          <w:spacing w:val="-2"/>
        </w:rPr>
        <w:t> </w:t>
      </w:r>
      <w:r>
        <w:rPr>
          <w:color w:val="1F3E9A"/>
        </w:rPr>
        <w:t>points</w:t>
      </w:r>
      <w:r>
        <w:rPr>
          <w:color w:val="1F3E9A"/>
          <w:spacing w:val="-1"/>
        </w:rPr>
        <w:t> </w:t>
      </w:r>
      <w:r>
        <w:rPr>
          <w:color w:val="1F3E9A"/>
        </w:rPr>
        <w:t>from</w:t>
      </w:r>
      <w:r>
        <w:rPr>
          <w:color w:val="1F3E9A"/>
          <w:spacing w:val="-1"/>
        </w:rPr>
        <w:t> </w:t>
      </w:r>
      <w:r>
        <w:rPr>
          <w:color w:val="1F3E9A"/>
        </w:rPr>
        <w:t>this</w:t>
      </w:r>
      <w:r>
        <w:rPr>
          <w:color w:val="1F3E9A"/>
          <w:spacing w:val="-3"/>
        </w:rPr>
        <w:t> </w:t>
      </w:r>
      <w:r>
        <w:rPr>
          <w:color w:val="1F3E9A"/>
        </w:rPr>
        <w:t>group:</w:t>
      </w:r>
    </w:p>
    <w:p>
      <w:pPr>
        <w:spacing w:line="240" w:lineRule="auto" w:before="0" w:after="1"/>
        <w:rPr>
          <w:b/>
          <w:sz w:val="22"/>
        </w:rPr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3639"/>
        <w:gridCol w:w="3641"/>
        <w:gridCol w:w="3641"/>
      </w:tblGrid>
      <w:tr>
        <w:trPr>
          <w:trHeight w:val="942" w:hRule="atLeast"/>
        </w:trPr>
        <w:tc>
          <w:tcPr>
            <w:tcW w:w="3641" w:type="dxa"/>
          </w:tcPr>
          <w:p>
            <w:pPr>
              <w:pStyle w:val="TableParagraph"/>
              <w:spacing w:before="104"/>
              <w:ind w:left="221" w:right="209"/>
              <w:rPr>
                <w:sz w:val="22"/>
              </w:rPr>
            </w:pPr>
            <w:r>
              <w:rPr>
                <w:b/>
                <w:sz w:val="22"/>
              </w:rPr>
              <w:t>CITS3003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(S1)</w:t>
            </w:r>
          </w:p>
          <w:p>
            <w:pPr>
              <w:pStyle w:val="TableParagraph"/>
              <w:spacing w:before="1"/>
              <w:ind w:left="221" w:right="204"/>
              <w:rPr>
                <w:sz w:val="22"/>
              </w:rPr>
            </w:pPr>
            <w:r>
              <w:rPr>
                <w:sz w:val="22"/>
              </w:rPr>
              <w:t>Graphics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Animation</w:t>
            </w:r>
          </w:p>
          <w:p>
            <w:pPr>
              <w:pStyle w:val="TableParagraph"/>
              <w:ind w:left="221" w:right="2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CITS1001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CITS2002</w:t>
            </w:r>
          </w:p>
        </w:tc>
        <w:tc>
          <w:tcPr>
            <w:tcW w:w="3639" w:type="dxa"/>
          </w:tcPr>
          <w:p>
            <w:pPr>
              <w:pStyle w:val="TableParagraph"/>
              <w:spacing w:before="104"/>
              <w:ind w:left="590" w:right="581"/>
              <w:rPr>
                <w:sz w:val="22"/>
              </w:rPr>
            </w:pPr>
            <w:r>
              <w:rPr>
                <w:b/>
                <w:sz w:val="22"/>
              </w:rPr>
              <w:t>CITS3005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(S2)</w:t>
            </w:r>
          </w:p>
          <w:p>
            <w:pPr>
              <w:pStyle w:val="TableParagraph"/>
              <w:spacing w:before="1"/>
              <w:ind w:left="591" w:right="581"/>
              <w:rPr>
                <w:sz w:val="22"/>
              </w:rPr>
            </w:pP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Representation</w:t>
            </w:r>
          </w:p>
          <w:p>
            <w:pPr>
              <w:pStyle w:val="TableParagraph"/>
              <w:ind w:left="591" w:right="57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CITS2200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CITS2211</w:t>
            </w:r>
          </w:p>
        </w:tc>
        <w:tc>
          <w:tcPr>
            <w:tcW w:w="3641" w:type="dxa"/>
          </w:tcPr>
          <w:p>
            <w:pPr>
              <w:pStyle w:val="TableParagraph"/>
              <w:spacing w:before="104"/>
              <w:ind w:left="221" w:right="211"/>
              <w:rPr>
                <w:sz w:val="22"/>
              </w:rPr>
            </w:pPr>
            <w:r>
              <w:rPr>
                <w:b/>
                <w:sz w:val="22"/>
              </w:rPr>
              <w:t>CITS3007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(S2)</w:t>
            </w:r>
          </w:p>
          <w:p>
            <w:pPr>
              <w:pStyle w:val="TableParagraph"/>
              <w:spacing w:before="1"/>
              <w:ind w:left="221" w:right="208"/>
              <w:rPr>
                <w:sz w:val="22"/>
              </w:rPr>
            </w:pPr>
            <w:r>
              <w:rPr>
                <w:sz w:val="22"/>
              </w:rPr>
              <w:t>Secure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Coding</w:t>
            </w:r>
          </w:p>
          <w:p>
            <w:pPr>
              <w:pStyle w:val="TableParagraph"/>
              <w:ind w:left="221" w:right="21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12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points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programming-based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units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‡</w:t>
            </w:r>
          </w:p>
        </w:tc>
        <w:tc>
          <w:tcPr>
            <w:tcW w:w="3641" w:type="dxa"/>
          </w:tcPr>
          <w:p>
            <w:pPr>
              <w:pStyle w:val="TableParagraph"/>
              <w:spacing w:before="104"/>
              <w:ind w:left="221" w:right="211"/>
              <w:rPr>
                <w:sz w:val="22"/>
              </w:rPr>
            </w:pPr>
            <w:r>
              <w:rPr>
                <w:b/>
                <w:sz w:val="22"/>
              </w:rPr>
              <w:t>CITS3402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(S2)</w:t>
            </w:r>
          </w:p>
          <w:p>
            <w:pPr>
              <w:pStyle w:val="TableParagraph"/>
              <w:spacing w:before="1"/>
              <w:ind w:left="221" w:right="209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Computing</w:t>
            </w:r>
          </w:p>
          <w:p>
            <w:pPr>
              <w:pStyle w:val="TableParagraph"/>
              <w:ind w:left="221" w:right="21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CITS2002</w:t>
            </w:r>
          </w:p>
        </w:tc>
      </w:tr>
    </w:tbl>
    <w:p>
      <w:pPr>
        <w:spacing w:line="240" w:lineRule="auto" w:before="11"/>
        <w:rPr>
          <w:b/>
          <w:sz w:val="22"/>
        </w:rPr>
      </w:pPr>
    </w:p>
    <w:p>
      <w:pPr>
        <w:pStyle w:val="BodyText"/>
        <w:spacing w:before="1"/>
        <w:ind w:left="393" w:right="815" w:hanging="1"/>
      </w:pPr>
      <w:r>
        <w:rPr>
          <w:b/>
          <w:i/>
          <w:sz w:val="16"/>
        </w:rPr>
        <w:t>‡ </w:t>
      </w:r>
      <w:r>
        <w:rPr>
          <w:i/>
        </w:rPr>
        <w:t>Programming-based units include: CITS1001 Software Engineering with Java; CITS1401 Computational Thinking with Python; CITS2002 Systems Programming; CITS2200 Data</w:t>
      </w:r>
      <w:r>
        <w:rPr>
          <w:i/>
          <w:spacing w:val="-43"/>
        </w:rPr>
        <w:t> </w:t>
      </w:r>
      <w:r>
        <w:rPr/>
        <w:t>Structures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Algorithms;</w:t>
      </w:r>
      <w:r>
        <w:rPr>
          <w:spacing w:val="-3"/>
        </w:rPr>
        <w:t> </w:t>
      </w:r>
      <w:r>
        <w:rPr/>
        <w:t>CITS2401 Computer</w:t>
      </w:r>
      <w:r>
        <w:rPr>
          <w:spacing w:val="-2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Visualisation;</w:t>
      </w:r>
      <w:r>
        <w:rPr>
          <w:spacing w:val="-3"/>
        </w:rPr>
        <w:t> </w:t>
      </w:r>
      <w:r>
        <w:rPr/>
        <w:t>CITS2402</w:t>
      </w:r>
      <w:r>
        <w:rPr>
          <w:spacing w:val="-1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Science;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CITS4009</w:t>
      </w:r>
      <w:r>
        <w:rPr>
          <w:spacing w:val="-2"/>
        </w:rPr>
        <w:t> </w:t>
      </w:r>
      <w:r>
        <w:rPr/>
        <w:t>Computational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Analysis.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26"/>
        </w:rPr>
      </w:pPr>
    </w:p>
    <w:p>
      <w:pPr>
        <w:pStyle w:val="Heading1"/>
      </w:pPr>
      <w:r>
        <w:rPr>
          <w:color w:val="1F3E9A"/>
        </w:rPr>
        <w:t>Cross-credit</w:t>
      </w:r>
      <w:r>
        <w:rPr>
          <w:color w:val="1F3E9A"/>
          <w:spacing w:val="-3"/>
        </w:rPr>
        <w:t> </w:t>
      </w:r>
      <w:r>
        <w:rPr>
          <w:color w:val="1F3E9A"/>
        </w:rPr>
        <w:t>arrangements</w:t>
      </w:r>
    </w:p>
    <w:p>
      <w:pPr>
        <w:spacing w:line="240" w:lineRule="auto" w:before="12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52" w:val="left" w:leader="none"/>
          <w:tab w:pos="753" w:val="left" w:leader="none"/>
        </w:tabs>
        <w:spacing w:line="276" w:lineRule="auto" w:before="0" w:after="0"/>
        <w:ind w:left="753" w:right="627" w:hanging="361"/>
        <w:jc w:val="left"/>
        <w:rPr>
          <w:sz w:val="22"/>
        </w:rPr>
      </w:pPr>
      <w:r>
        <w:rPr>
          <w:b/>
          <w:sz w:val="22"/>
        </w:rPr>
        <w:t>BE(Hons) Automation and Robotics Engineering Major and BSc Computer Science Major: CITS1001, CITS2002, CITS2200 and CITS3001 </w:t>
      </w:r>
      <w:r>
        <w:rPr>
          <w:sz w:val="22"/>
        </w:rPr>
        <w:t>count towards both</w:t>
      </w:r>
      <w:r>
        <w:rPr>
          <w:spacing w:val="1"/>
          <w:sz w:val="22"/>
        </w:rPr>
        <w:t> </w:t>
      </w:r>
      <w:r>
        <w:rPr>
          <w:sz w:val="22"/>
        </w:rPr>
        <w:t>the BE(Hons)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BSc</w:t>
      </w:r>
      <w:r>
        <w:rPr>
          <w:spacing w:val="-1"/>
          <w:sz w:val="22"/>
        </w:rPr>
        <w:t> </w:t>
      </w:r>
      <w:r>
        <w:rPr>
          <w:sz w:val="22"/>
        </w:rPr>
        <w:t>component: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must take these units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four additional</w:t>
      </w:r>
      <w:r>
        <w:rPr>
          <w:spacing w:val="-1"/>
          <w:sz w:val="22"/>
        </w:rPr>
        <w:t> </w:t>
      </w:r>
      <w:r>
        <w:rPr>
          <w:sz w:val="22"/>
        </w:rPr>
        <w:t>electives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units</w:t>
      </w:r>
      <w:r>
        <w:rPr>
          <w:spacing w:val="-1"/>
          <w:sz w:val="22"/>
        </w:rPr>
        <w:t> </w:t>
      </w:r>
      <w:r>
        <w:rPr>
          <w:sz w:val="22"/>
        </w:rPr>
        <w:t>required by their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study.</w:t>
      </w:r>
    </w:p>
    <w:p>
      <w:pPr>
        <w:spacing w:line="240" w:lineRule="auto"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53" w:val="left" w:leader="none"/>
          <w:tab w:pos="754" w:val="left" w:leader="none"/>
        </w:tabs>
        <w:spacing w:line="276" w:lineRule="auto" w:before="1" w:after="0"/>
        <w:ind w:left="753" w:right="590" w:hanging="360"/>
        <w:jc w:val="left"/>
        <w:rPr>
          <w:sz w:val="22"/>
        </w:rPr>
      </w:pPr>
      <w:r>
        <w:rPr>
          <w:b/>
          <w:sz w:val="22"/>
        </w:rPr>
        <w:t>BE(Hons) Biomedical Engineering Major and BSc Computer Science Major: CITS1001 </w:t>
      </w:r>
      <w:r>
        <w:rPr>
          <w:sz w:val="22"/>
        </w:rPr>
        <w:t>counts towards both the BE(Hons) and BSc component: students must</w:t>
      </w:r>
      <w:r>
        <w:rPr>
          <w:spacing w:val="1"/>
          <w:sz w:val="22"/>
        </w:rPr>
        <w:t> </w:t>
      </w:r>
      <w:r>
        <w:rPr>
          <w:sz w:val="22"/>
        </w:rPr>
        <w:t>take CITS1001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additional elective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 unit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by their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of study.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5"/>
        <w:rPr>
          <w:sz w:val="16"/>
        </w:rPr>
      </w:pPr>
    </w:p>
    <w:p>
      <w:pPr>
        <w:pStyle w:val="Heading1"/>
      </w:pPr>
      <w:r>
        <w:rPr>
          <w:color w:val="1F3E9A"/>
        </w:rPr>
        <w:t>Additional</w:t>
      </w:r>
      <w:r>
        <w:rPr>
          <w:color w:val="1F3E9A"/>
          <w:spacing w:val="-5"/>
        </w:rPr>
        <w:t> </w:t>
      </w:r>
      <w:r>
        <w:rPr>
          <w:color w:val="1F3E9A"/>
        </w:rPr>
        <w:t>Information:</w:t>
      </w:r>
      <w:r>
        <w:rPr>
          <w:color w:val="1F3E9A"/>
          <w:spacing w:val="-4"/>
        </w:rPr>
        <w:t> </w:t>
      </w:r>
      <w:r>
        <w:rPr>
          <w:color w:val="1F3E9A"/>
        </w:rPr>
        <w:t>Incompatibility</w:t>
      </w:r>
    </w:p>
    <w:p>
      <w:pPr>
        <w:spacing w:line="240" w:lineRule="auto" w:before="10"/>
        <w:rPr>
          <w:b/>
          <w:sz w:val="21"/>
        </w:rPr>
      </w:pPr>
    </w:p>
    <w:p>
      <w:pPr>
        <w:spacing w:before="0"/>
        <w:ind w:left="392" w:right="0" w:firstLine="0"/>
        <w:jc w:val="left"/>
        <w:rPr>
          <w:sz w:val="22"/>
        </w:rPr>
      </w:pPr>
      <w:r>
        <w:rPr>
          <w:sz w:val="22"/>
        </w:rPr>
        <w:t>The BSc</w:t>
      </w:r>
      <w:r>
        <w:rPr>
          <w:spacing w:val="-1"/>
          <w:sz w:val="22"/>
        </w:rPr>
        <w:t> </w:t>
      </w:r>
      <w:r>
        <w:rPr>
          <w:sz w:val="22"/>
        </w:rPr>
        <w:t>Computer</w:t>
      </w:r>
      <w:r>
        <w:rPr>
          <w:spacing w:val="-3"/>
          <w:sz w:val="22"/>
        </w:rPr>
        <w:t> </w:t>
      </w:r>
      <w:r>
        <w:rPr>
          <w:sz w:val="22"/>
        </w:rPr>
        <w:t>Science</w:t>
      </w:r>
      <w:r>
        <w:rPr>
          <w:spacing w:val="-5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be taken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combination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 BE(Hons)</w:t>
      </w:r>
      <w:r>
        <w:rPr>
          <w:spacing w:val="-1"/>
          <w:sz w:val="22"/>
        </w:rPr>
        <w:t> </w:t>
      </w:r>
      <w:r>
        <w:rPr>
          <w:sz w:val="22"/>
        </w:rPr>
        <w:t>Software Engineering</w:t>
      </w:r>
      <w:r>
        <w:rPr>
          <w:spacing w:val="-4"/>
          <w:sz w:val="22"/>
        </w:rPr>
        <w:t> </w:t>
      </w:r>
      <w:r>
        <w:rPr>
          <w:sz w:val="22"/>
        </w:rPr>
        <w:t>major.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rPr>
          <w:sz w:val="22"/>
        </w:rPr>
      </w:pPr>
    </w:p>
    <w:p>
      <w:pPr>
        <w:pStyle w:val="Heading1"/>
      </w:pPr>
      <w:r>
        <w:rPr>
          <w:color w:val="1F3E9A"/>
        </w:rPr>
        <w:t>Further Help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392" w:right="0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to discuss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study plan</w:t>
      </w:r>
      <w:r>
        <w:rPr>
          <w:spacing w:val="-3"/>
          <w:sz w:val="22"/>
        </w:rPr>
        <w:t> </w:t>
      </w:r>
      <w:r>
        <w:rPr>
          <w:sz w:val="22"/>
        </w:rPr>
        <w:t>further,</w:t>
      </w:r>
      <w:r>
        <w:rPr>
          <w:spacing w:val="-3"/>
          <w:sz w:val="22"/>
        </w:rPr>
        <w:t> </w:t>
      </w: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EMS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Student Office</w:t>
        </w:r>
      </w:hyperlink>
    </w:p>
    <w:sectPr>
      <w:pgSz w:w="16840" w:h="11910" w:orient="landscape"/>
      <w:pgMar w:header="622" w:footer="362" w:top="1360" w:bottom="5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Source Sans Pro">
    <w:altName w:val="Source Sans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55.639999pt;margin-top:566.210022pt;width:631.9pt;height:10.050pt;mso-position-horizontal-relative:page;mso-position-vertical-relative:page;z-index:-15896064" type="#_x0000_t202" id="docshape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Information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this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study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plan is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correct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8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October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2021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but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subject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 from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time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 time.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particular,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University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reserves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right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 the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availability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unit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rules.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399994pt;margin-top:30.110008pt;width:527.050pt;height:39.25pt;mso-position-horizontal-relative:page;mso-position-vertical-relative:page;z-index:-15896576" type="#_x0000_t202" id="docshape1" filled="false" stroked="false">
          <v:textbox inset="0,0,0,0">
            <w:txbxContent>
              <w:p>
                <w:pPr>
                  <w:spacing w:line="306" w:lineRule="exact" w:before="0"/>
                  <w:ind w:left="15" w:right="15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XYZ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Major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Science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(Computer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Science)</w:t>
                </w:r>
              </w:p>
              <w:p>
                <w:pPr>
                  <w:spacing w:before="121"/>
                  <w:ind w:left="15" w:right="15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DRAFT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Study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Plan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-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Commencing:</w:t>
                </w:r>
                <w:r>
                  <w:rPr>
                    <w:b/>
                    <w:spacing w:val="5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1,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53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21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9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5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19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97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43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0"/>
      <w:szCs w:val="20"/>
    </w:rPr>
  </w:style>
  <w:style w:styleId="Heading1" w:type="paragraph">
    <w:name w:val="Heading 1"/>
    <w:basedOn w:val="Normal"/>
    <w:uiPriority w:val="1"/>
    <w:qFormat/>
    <w:pPr>
      <w:ind w:left="392"/>
      <w:outlineLvl w:val="1"/>
    </w:pPr>
    <w:rPr>
      <w:rFonts w:ascii="Calibri" w:hAnsi="Calibri" w:eastAsia="Calibri" w:cs="Calibri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ind w:left="15" w:right="15"/>
      <w:jc w:val="center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753" w:right="59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s://www.uwa.edu.au/students/my-course/study-areas/ems-students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24A32-522C-49BF-8D7A-7AE8CADE412F}"/>
</file>

<file path=customXml/itemProps2.xml><?xml version="1.0" encoding="utf-8"?>
<ds:datastoreItem xmlns:ds="http://schemas.openxmlformats.org/officeDocument/2006/customXml" ds:itemID="{EBAC4502-31A1-48C5-9BD5-8AF59B40153A}"/>
</file>

<file path=customXml/itemProps3.xml><?xml version="1.0" encoding="utf-8"?>
<ds:datastoreItem xmlns:ds="http://schemas.openxmlformats.org/officeDocument/2006/customXml" ds:itemID="{1ABF91D6-3E44-4FF3-838D-3408B25E7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dcterms:created xsi:type="dcterms:W3CDTF">2021-12-01T04:45:48Z</dcterms:created>
  <dcterms:modified xsi:type="dcterms:W3CDTF">2021-12-01T04:45:48Z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0x0101003CB8D44430D76D41A6F74E0E0A4D3FF8</vt:lpwstr>
  </property>
</Properties>
</file>